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65F74" w:rsidRPr="00BA71C5" w:rsidRDefault="00394398">
      <w:pPr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Утверждено</w:t>
      </w:r>
    </w:p>
    <w:p w:rsidR="00F65F74" w:rsidRPr="00BA71C5" w:rsidRDefault="00394398">
      <w:pPr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постановлением </w:t>
      </w:r>
    </w:p>
    <w:p w:rsidR="00F65F74" w:rsidRPr="00BA71C5" w:rsidRDefault="00394398">
      <w:pPr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Кабинета Министров</w:t>
      </w:r>
    </w:p>
    <w:p w:rsidR="00F65F74" w:rsidRPr="00BA71C5" w:rsidRDefault="00394398">
      <w:pPr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Республики Татарстан </w:t>
      </w:r>
    </w:p>
    <w:p w:rsidR="00F65F74" w:rsidRPr="00BA71C5" w:rsidRDefault="00394398">
      <w:pPr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от _______ 2025 № ______</w:t>
      </w:r>
    </w:p>
    <w:p w:rsidR="00F65F74" w:rsidRPr="00BA71C5" w:rsidRDefault="00F65F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65F74" w:rsidRPr="00BA71C5" w:rsidRDefault="003943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Положение</w:t>
      </w:r>
    </w:p>
    <w:p w:rsidR="00F65F74" w:rsidRPr="00BA71C5" w:rsidRDefault="003943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о гранте «</w:t>
      </w:r>
      <w:r w:rsidRPr="00BA71C5">
        <w:rPr>
          <w:rFonts w:ascii="Times New Roman" w:eastAsia="Times New Roman" w:hAnsi="Times New Roman" w:cs="Times New Roman"/>
          <w:sz w:val="28"/>
          <w:szCs w:val="28"/>
        </w:rPr>
        <w:t xml:space="preserve">Поддержка педагогов </w:t>
      </w: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физики, химии, биологии</w:t>
      </w:r>
    </w:p>
    <w:p w:rsidR="00F65F74" w:rsidRPr="00BA71C5" w:rsidRDefault="003943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Республике Татарстан» </w:t>
      </w:r>
    </w:p>
    <w:p w:rsidR="00F65F74" w:rsidRPr="00BA71C5" w:rsidRDefault="00F65F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1. Настоящее Положение устанавливает условия и порядок предоставления гранта «Поддержка педагогов физики, химии, биологии в Республике Татарстан» (далее – грант) в целях стимулирования и поддержки педагогов общеобразовательных орган</w:t>
      </w:r>
      <w:r w:rsidRPr="00BA71C5">
        <w:rPr>
          <w:rFonts w:ascii="Times New Roman" w:eastAsia="Times New Roman" w:hAnsi="Times New Roman" w:cs="Times New Roman"/>
          <w:sz w:val="28"/>
          <w:szCs w:val="28"/>
        </w:rPr>
        <w:t>изаций, расположенных на территории Республики Татарстан, принимающих участие в реализации мероприятий проекта «Физико-химический прорыв».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sz w:val="28"/>
          <w:szCs w:val="28"/>
        </w:rPr>
        <w:t xml:space="preserve">2. Предоставление гранта осуществляется Министерством образования и науки Республики Татарстан (далее </w:t>
      </w:r>
      <w:r w:rsidR="000E47E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BA71C5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Министерство), осуществляющим функции главного распорядителя бюджетных средств, до которого как до получателя средств бюджета Респуб</w:t>
      </w:r>
      <w:r w:rsidR="00FC338B">
        <w:rPr>
          <w:rFonts w:ascii="Times New Roman" w:eastAsia="Times New Roman" w:hAnsi="Times New Roman" w:cs="Times New Roman"/>
          <w:sz w:val="28"/>
          <w:szCs w:val="28"/>
        </w:rPr>
        <w:t xml:space="preserve">лики Татарстан в соответствии с </w:t>
      </w:r>
      <w:r w:rsidRPr="00BA71C5">
        <w:rPr>
          <w:rFonts w:ascii="Times New Roman" w:eastAsia="Times New Roman" w:hAnsi="Times New Roman" w:cs="Times New Roman"/>
          <w:sz w:val="28"/>
          <w:szCs w:val="28"/>
        </w:rPr>
        <w:t>бюджетным законодательством</w:t>
      </w:r>
      <w:r w:rsidR="00FC338B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BA71C5">
        <w:rPr>
          <w:rFonts w:ascii="Times New Roman" w:eastAsia="Times New Roman" w:hAnsi="Times New Roman" w:cs="Times New Roman"/>
          <w:sz w:val="28"/>
          <w:szCs w:val="28"/>
        </w:rPr>
        <w:t>Российской Федерации доведены в установленном порядке лимиты бюджетных обязательств на предоставление гранта на цель, указанную в пункте 1 настоящего Положения.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sz w:val="28"/>
          <w:szCs w:val="28"/>
        </w:rPr>
        <w:t>3. В настоящем Положении для целей его использования применяются следующие термины: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соискатели гранта – граждане Российской Федерации, проживающие на территории Республики Татарстан, реализующие общеобразовательные программы </w:t>
      </w:r>
      <w:r w:rsidRPr="00BA71C5">
        <w:rPr>
          <w:rFonts w:ascii="Times New Roman" w:eastAsiaTheme="minorEastAsia" w:hAnsi="Times New Roman" w:cs="Times New Roman"/>
          <w:color w:val="auto"/>
          <w:sz w:val="28"/>
          <w:szCs w:val="28"/>
        </w:rPr>
        <w:t>основного общего и среднего общего образования</w:t>
      </w: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 предметам «физика»</w:t>
      </w:r>
      <w:r w:rsidRPr="00BA71C5">
        <w:t xml:space="preserve"> </w:t>
      </w: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и (или) «химия», и (или) «биология» в государственных или муниципальных общеобразовательных организациях;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грантополучатель – соискатель гранта, в отношении которого принято решение о предоставлении гранта по итогам конкурсного отбора на соискание гранта (далее – отбор); 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работодатель – </w:t>
      </w:r>
      <w:r w:rsidRPr="00BA71C5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государственная или муниципальная общеобразовательная организация, </w:t>
      </w: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работником которой по заключенному трудовому договору является соискатель гранта;</w:t>
      </w:r>
    </w:p>
    <w:p w:rsidR="00F65F74" w:rsidRPr="00BA71C5" w:rsidRDefault="00394398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индивидуальный образовательный проект – проект, направленный на углубленное изучение предметов «физика» и (или) «химия», и (или) «биология»;</w:t>
      </w:r>
    </w:p>
    <w:p w:rsidR="00F65F74" w:rsidRPr="00BA71C5" w:rsidRDefault="00394398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мотивационное письмо – письмо, содержащее описание проблем и перспектив развития преподавания предметов «физика» и (или) «химия», и (или) «биология» с особым акцентом на личный вклад, который соискатель гранта может внести в реализацию мероприятий проекта «Физико-химический прорыв» (от 500 до 700 слов);</w:t>
      </w:r>
    </w:p>
    <w:p w:rsidR="00F65F74" w:rsidRPr="00BA71C5" w:rsidRDefault="00394398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портфолио – документ, содержащий сведения о педагогическом опыте соискателя гранта за последние три учебных года.</w:t>
      </w:r>
    </w:p>
    <w:p w:rsidR="00F65F74" w:rsidRPr="00BA71C5" w:rsidRDefault="00394398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4. Категории соискателей гранта:</w:t>
      </w:r>
    </w:p>
    <w:p w:rsidR="00F65F74" w:rsidRPr="00BA71C5" w:rsidRDefault="00394398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соискатели гранта, имеющие первую или высшую квалификационную катего</w:t>
      </w: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рию и стаж работы более пяти лет по состоянию на дату подачи заявки на участие в отборе (далее – заявка);</w:t>
      </w:r>
    </w:p>
    <w:p w:rsidR="00F65F74" w:rsidRPr="00BA71C5" w:rsidRDefault="00394398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соискатели гранта, имеющие стаж работы до пяти лет по состоянию на дату подачи заявки; </w:t>
      </w:r>
    </w:p>
    <w:p w:rsidR="00F65F74" w:rsidRPr="00BA71C5" w:rsidRDefault="00394398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соискатели гранта, имеющие ученую степень (кандидата или доктора наук) и стаж работы более пяти лет по состоянию на дату подачи заявки.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5. Грант предоставляется грантополучателю единовременно по следующим номинациям: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«Учитель физико-химического профиля» – не более 100 грантов по </w:t>
      </w:r>
      <w:r w:rsidRPr="00BA7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345,0 тыс.рублей; 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«Молодой учитель физико-химического профиля» – не более 100 грантов по 288,0 тыс.рублей;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«Преподаватель вуза физико-химического профиля, работающий в школе» – не более 20 грантов по 230,0 тыс</w:t>
      </w: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.рублей.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6. Условиями предоставления гранта являются: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победа в отборе;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осуществление трудовой педагогической деятельности в должности «учитель» в объеме не менее одной тарифной ставки по основному месту работы либо по совместительству в объеме не менее 0,5 тарифной ставки;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соответствие документа об образовании и (или) о квалификации соискателя гранта профилю педагогической деятельности и преподаваемому учебному предмету у работодателя;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реализация индивидуального образовательного проекта в течение одного учебного года;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осуществление трудовой педагогической деятельности у работодателя в течение срока реализации индивидуального образовательного проекта;</w:t>
      </w:r>
    </w:p>
    <w:p w:rsidR="00F65F74" w:rsidRPr="00BA71C5" w:rsidRDefault="00394398" w:rsidP="00FC33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отсутствие подачи заявки на участие в конкурсном отборе на получение гранта «</w:t>
      </w:r>
      <w:r w:rsidR="00FC338B" w:rsidRPr="00BA71C5">
        <w:rPr>
          <w:rFonts w:ascii="Times New Roman" w:eastAsia="Times New Roman" w:hAnsi="Times New Roman" w:cs="Times New Roman"/>
          <w:sz w:val="28"/>
          <w:szCs w:val="28"/>
        </w:rPr>
        <w:t xml:space="preserve">Поддержка педагогов </w:t>
      </w:r>
      <w:r w:rsidR="00FC338B"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физики, </w:t>
      </w:r>
      <w:r w:rsidR="00B95AD3">
        <w:rPr>
          <w:rFonts w:ascii="Times New Roman" w:eastAsia="Times New Roman" w:hAnsi="Times New Roman" w:cs="Times New Roman"/>
          <w:color w:val="auto"/>
          <w:sz w:val="28"/>
          <w:szCs w:val="28"/>
          <w:lang w:val="tt-RU"/>
        </w:rPr>
        <w:t>математики</w:t>
      </w:r>
      <w:r w:rsidR="00FC338B"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B95AD3">
        <w:rPr>
          <w:rFonts w:ascii="Times New Roman" w:eastAsia="Times New Roman" w:hAnsi="Times New Roman" w:cs="Times New Roman"/>
          <w:color w:val="auto"/>
          <w:sz w:val="28"/>
          <w:szCs w:val="28"/>
          <w:lang w:val="tt-RU"/>
        </w:rPr>
        <w:t>информатики</w:t>
      </w:r>
      <w:r w:rsidR="00FC338B">
        <w:rPr>
          <w:rFonts w:ascii="Times New Roman" w:eastAsia="Times New Roman" w:hAnsi="Times New Roman" w:cs="Times New Roman"/>
          <w:color w:val="auto"/>
          <w:sz w:val="28"/>
          <w:szCs w:val="28"/>
          <w:lang w:val="tt-RU"/>
        </w:rPr>
        <w:t xml:space="preserve"> </w:t>
      </w:r>
      <w:r w:rsidR="00FC338B"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в Республике Татарстан</w:t>
      </w:r>
      <w:r w:rsidRPr="000E47E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»</w:t>
      </w:r>
      <w:r w:rsidR="00B95AD3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tt-RU"/>
        </w:rPr>
        <w:t xml:space="preserve"> </w:t>
      </w:r>
      <w:r w:rsidR="00B95AD3" w:rsidRPr="00B95AD3">
        <w:rPr>
          <w:rFonts w:ascii="Times New Roman" w:eastAsia="Times New Roman" w:hAnsi="Times New Roman" w:cs="Times New Roman"/>
          <w:sz w:val="28"/>
          <w:szCs w:val="28"/>
        </w:rPr>
        <w:t>на 2026 год</w:t>
      </w:r>
      <w:r w:rsidR="00FC338B" w:rsidRPr="00B95A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5AD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рамках реализации мероприятий проекта «</w:t>
      </w:r>
      <w:r w:rsidR="00FC338B" w:rsidRPr="00BA71C5">
        <w:rPr>
          <w:rFonts w:ascii="Times New Roman" w:eastAsia="Times New Roman" w:hAnsi="Times New Roman" w:cs="Times New Roman"/>
          <w:sz w:val="28"/>
          <w:szCs w:val="28"/>
        </w:rPr>
        <w:t>Физико-</w:t>
      </w:r>
      <w:r w:rsidR="00B95AD3">
        <w:rPr>
          <w:rFonts w:ascii="Times New Roman" w:eastAsia="Times New Roman" w:hAnsi="Times New Roman" w:cs="Times New Roman"/>
          <w:sz w:val="28"/>
          <w:szCs w:val="28"/>
          <w:lang w:val="tt-RU"/>
        </w:rPr>
        <w:t>математический</w:t>
      </w:r>
      <w:bookmarkStart w:id="0" w:name="_GoBack"/>
      <w:bookmarkEnd w:id="0"/>
      <w:r w:rsidR="00FC338B" w:rsidRPr="00BA71C5">
        <w:rPr>
          <w:rFonts w:ascii="Times New Roman" w:eastAsia="Times New Roman" w:hAnsi="Times New Roman" w:cs="Times New Roman"/>
          <w:sz w:val="28"/>
          <w:szCs w:val="28"/>
        </w:rPr>
        <w:t xml:space="preserve"> прорыв</w:t>
      </w: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».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7. Результатами предоставления гранта являются: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по номинации «Учитель физико-химического профиля»: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наличие обучающихся, выбравших для сдачи государственной итоговой аттестации предметы «физика» и (или) «химия», и (или) «биология» и получивших по указанным предметам положительные результаты;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наличие не менее 10 процентов выпускников, сдавших единый государственный экзамен по предметам «физика» и (или) «химия», и (или) «биология» на 80 баллов и выше;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наличие не менее 10 процентов выпускников, обучавшихся по программам углубленного изучения предметов «физика» и (или) «химия», и (или) «биология», получивших оценку «отлично» на основном государственном экзамене по указанным предметам.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наличие обучающихся, признанных</w:t>
      </w:r>
      <w:r w:rsidRPr="00BA71C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призерами или победителями муниципального и (или) регионального этапа Всероссийской олимпиады школьников либо иных мероприятий, включенных в перечень олимпиад и иных интеллектуальных и </w:t>
      </w: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(или) творческих конкурсов, мероприятий, направленных на развитие интеллектуальных и творческих способностей, интереса к научной (научно-исследовательской), инженерно-технической, изобретательской и творческой деятельности, ежегодно утверждаемый приказом Министерства просвещения Российской Федерации, по предметам «физика» и (или) «химия», и (или) «биология»;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проведение не менее двух мероприятий, направленных на распространение инновационного педагогического опыта физико-химического направления;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номинации «Молодой учитель физико-химического профиля»: 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наличие обучающихся, выбравших для сдачи государственной итоговой аттестации году предметы «физика» и (или) «химия», и (или) «биология» и получивших по указанным предметам положительные результаты; 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проведение не менее двух мероприятий физико-химического направления (внеурочные занятия, выезды, конференции, конкурсы, фестивали и другие мероприятия) для обучающихся на школьном уровне;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по номинации «Преподаватель вуза физико-химического профиля, работающий в школе»: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наличие обучающихся, выбравших для сдачи государственной итоговой аттестации предметы «физика» и (или) «химия», и (или) «биология» и получивших по указанным предметам положительные результаты;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наличие не менее пяти процентов выпускников, сдавших единый государственный экзамен по предметам «физика» и (или) «химия», и (или) «биология» на 80 баллов и выше;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наличие не менее пяти процентов выпускников, обучавшихся по программам углубленного изучения предметов «физика» и (или) «химия», и (или) «биология», получивших оценку «отлично» на основном государственном экзамене по указанным предметам.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наличие обучающихся, признанных призерами или победителями муниципального и (или) регионального этапа Всероссийской олимпиады школьников либо иных мероприятий, включенных в перечень олимпиад и иных интеллектуальных и (или) творческих конкурсов, мероприятий, направленных на развитие интеллектуальных и творческих способностей, интереса к научной (научно-исследовательской), инженерно-технической, изобретательской и творческой деятельности, утвержденный приказом Министерства просвещения Российской Федерации на, по предметам «физика» и (или) «химия», и (или) «биология»;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проведение не менее двух мероприятий физико-химического направления (внеурочные занятия, выезды, конференции, конкурсы, фестивали и другие мероприятия) для обучающихся на школьном уровне.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Результаты предоставления гранта должны быть достигнуты грантополучателем до 1 сентября года, следующим за годом предоставление гранта. Выполнение менее 50 процентов установленных результатов предоставления гранта влечет недопуск грантополучателя к участию в заявочной кампании на получение гранта в следующем году.</w:t>
      </w:r>
    </w:p>
    <w:p w:rsidR="00F65F74" w:rsidRPr="00BA71C5" w:rsidRDefault="00394398">
      <w:pPr>
        <w:tabs>
          <w:tab w:val="left" w:pos="1276"/>
          <w:tab w:val="left" w:pos="1560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8. Требования, которым должен соответствовать соискатель гранта по состоянию на даты рассмотрения заявки и заключения соглашения о предоставлении гранта (далее – соглашение):</w:t>
      </w:r>
    </w:p>
    <w:p w:rsidR="00F65F74" w:rsidRPr="00BA71C5" w:rsidRDefault="00394398">
      <w:pPr>
        <w:tabs>
          <w:tab w:val="left" w:pos="1276"/>
          <w:tab w:val="left" w:pos="1560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не находится в перечне физических лиц, в отношении которых имеются сведения об их причастности к экстремистской деятельности или терроризму;</w:t>
      </w:r>
    </w:p>
    <w:p w:rsidR="00F65F74" w:rsidRPr="00BA71C5" w:rsidRDefault="00394398">
      <w:pPr>
        <w:tabs>
          <w:tab w:val="left" w:pos="1276"/>
          <w:tab w:val="left" w:pos="1560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не является иностранным агентом в соответствии с Федеральным законом от 14 июля 2022 года № 255-ФЗ «О контроле за деятельностью лиц, находящихся под иностранным влиянием»;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sz w:val="28"/>
          <w:szCs w:val="28"/>
        </w:rPr>
        <w:t>не получает средства из бюджета Республики Татарстан на основании иных нормативных правовых актов Республики Татарстан на цели, установленные пунктом 1 настоящего Положения;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1" w:name="p_31_Копия_1"/>
      <w:bookmarkEnd w:id="1"/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отсутствует неисполненная обязанность по уплате налогов, сборов, страховых взносов, пеней, штрафов и процентов, подлежащих уплате в соответствии с законодательством Российской Федерации о налогах и сборах.</w:t>
      </w:r>
    </w:p>
    <w:p w:rsidR="00F65F74" w:rsidRPr="00BA71C5" w:rsidRDefault="00394398">
      <w:pPr>
        <w:suppressAutoHyphens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sz w:val="28"/>
          <w:szCs w:val="28"/>
        </w:rPr>
        <w:t xml:space="preserve">9. Сроки приема заявок, сведения об операторе, осуществляющем прием и регистрацию заявок (далее – оператор), порядок и </w:t>
      </w: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сроки проведения отбора, критерии оценки портфолио, мотивационного письма и индивидуального образовательного проекта соискателей гранта, форма заявки, форма индивидуального образовательного проекта с описанием, форма согласия на обработку персональных данных соискателя гранта, форма соглашения, заключаемого между Министерством, грантополучателем и работодателем, утверждаются приказом Министерства (далее – приказ об отборе).</w:t>
      </w:r>
    </w:p>
    <w:p w:rsidR="00F65F74" w:rsidRPr="00BA71C5" w:rsidRDefault="00394398">
      <w:pPr>
        <w:suppressAutoHyphens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Для приема и регистрации заявок Министерство определяет оператора из числа подведомственных Министерству организаций.</w:t>
      </w:r>
    </w:p>
    <w:p w:rsidR="00F65F74" w:rsidRPr="00BA71C5" w:rsidRDefault="00394398">
      <w:pPr>
        <w:suppressAutoHyphens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10. Министерство обеспечивает публикацию на официальном сайте Министерства в информационно-телекоммуникационной сети «Интернет» (далее – официальный сайт):</w:t>
      </w:r>
    </w:p>
    <w:p w:rsidR="00F65F74" w:rsidRPr="00BA71C5" w:rsidRDefault="00394398">
      <w:pPr>
        <w:suppressAutoHyphens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объявления о проведении отбора, которое должно содержать даты начала и окончания срока подачи заявок, сведения об операторе, форму заявки с перечнем документов, представляемых в составе заявки, адрес и способ подачи заявок, а также ссылку на приказ об отборе, по адресу которой он размещен на сайте Министерства, не позднее чем за 10 календарных дней до даты начала приема заявок;</w:t>
      </w:r>
    </w:p>
    <w:p w:rsidR="00F65F74" w:rsidRPr="00BA71C5" w:rsidRDefault="00394398">
      <w:pPr>
        <w:suppressAutoHyphens w:val="0"/>
        <w:spacing w:after="0" w:line="235" w:lineRule="auto"/>
        <w:ind w:firstLine="709"/>
        <w:jc w:val="both"/>
        <w:rPr>
          <w:rFonts w:ascii="Times New Roman" w:hAnsi="Times New Roman" w:cs="Times New Roman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приказа об отборе не позднее 10 календарных дней до даты начала приема заявок;</w:t>
      </w:r>
    </w:p>
    <w:p w:rsidR="00F65F74" w:rsidRPr="00BA71C5" w:rsidRDefault="00394398">
      <w:pPr>
        <w:suppressAutoHyphens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приказа Министерства об утверждении решения о предоставлении гранта либо об отказе в предоставлении гранта на основании протокола конкурсной комиссии на соискание гранта (далее соответственно – конкурсная комиссия, протокол конкурсной комиссии) в течение трех рабочих дней с даты его утверждения.</w:t>
      </w:r>
    </w:p>
    <w:p w:rsidR="00F65F74" w:rsidRPr="00BA71C5" w:rsidRDefault="00394398">
      <w:pPr>
        <w:suppressAutoHyphens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11. Для участия в отборе соискатели гранта представляют оператору заявку по форме, утвержденной приказом Министерства, и следующие документы в составе заявки:</w:t>
      </w:r>
    </w:p>
    <w:p w:rsidR="00F65F74" w:rsidRPr="00BA71C5" w:rsidRDefault="00394398">
      <w:pPr>
        <w:suppressAutoHyphens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индивидуальный образовательный проект с описанием по форме, утвержденной приказом Министерства;</w:t>
      </w:r>
    </w:p>
    <w:p w:rsidR="00F65F74" w:rsidRPr="00BA71C5" w:rsidRDefault="00394398">
      <w:pPr>
        <w:suppressAutoHyphens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копию паспорта гражданина Российской Федерации;</w:t>
      </w:r>
    </w:p>
    <w:p w:rsidR="00F65F74" w:rsidRPr="00BA71C5" w:rsidRDefault="00394398">
      <w:pPr>
        <w:suppressAutoHyphens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копию диплома об образовании и (или) о квалификации, заверенную руководителем работодателя или иным уполномоченным лицом работодателя;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копию диплома об ученой степени и (или) ученом звании, заверенную руководителем работодателя или иным уполномоченным лицом работодателя (для соискателей гранта в номинации «Преподаватель вуза физико-химического профиля, работающий в школе»);</w:t>
      </w:r>
    </w:p>
    <w:p w:rsidR="00F65F74" w:rsidRPr="00BA71C5" w:rsidRDefault="00394398">
      <w:pPr>
        <w:suppressAutoHyphens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копию трудовой книжки, заверенную руководителем работодателя или иным уполномоченным лицом работодателя, или сведения о трудовой деятельности и трудовом стаже соискателя гранта, полученные в порядке, установленном законодательством Российской Федерации об индивидуальном (персонифицированном) учете </w:t>
      </w: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в системах обязательного пенсионного страхования и обязательного социального страхования;</w:t>
      </w:r>
    </w:p>
    <w:p w:rsidR="00F65F74" w:rsidRPr="00BA71C5" w:rsidRDefault="00394398">
      <w:pPr>
        <w:suppressAutoHyphens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выписку из приказа Министерства, подтверждающую наличие квалификационной категории (для соискателей гранта в номинации «Учитель физико-химического профиля»);</w:t>
      </w:r>
    </w:p>
    <w:p w:rsidR="00F65F74" w:rsidRPr="00BA71C5" w:rsidRDefault="00394398">
      <w:pPr>
        <w:suppressAutoHyphens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выписку из приказа работодателя об осуществлении соискателем гранта трудовой педагогической деятельности в должности «учитель» в объеме не менее одной тарифной ставки по основному месту работы либо по совместительству </w:t>
      </w: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в объеме не менее 0,5 тарифной ставки;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sz w:val="28"/>
          <w:szCs w:val="28"/>
        </w:rPr>
        <w:t>согласие на обработку персональных данных по форме, утверждаемой приказом Министерства;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документы, подтверждающие соответствие соискателя гранта требованиям, установленным пунктом 8 настоящего Положения;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sz w:val="28"/>
          <w:szCs w:val="28"/>
        </w:rPr>
        <w:t>письмо р</w:t>
      </w: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аботодателя, содержащее гарантию обеспечения материально-технических и иных условий труда для реализации индивидуального образовательного проекта.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Соискатели гранта в номинациях «Молодой учитель физико-химического профиля», «Преподаватель вуза физико-химического профиля, работающий в школе» дополнительно предоставляют мотивационное письмо.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Соискатель гранта в номинации «Учитель физико-химического профиля» дополнительно предоставляет портфолио с информацией о:</w:t>
      </w:r>
    </w:p>
    <w:p w:rsidR="00F65F74" w:rsidRPr="00BA71C5" w:rsidRDefault="00394398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наличии обучающихся, выбравших для сдачи государственной итоговой аттестации предметы «физика» и (или) «химия», и (или) «биология» и получивших по указанным предметам положительные результаты;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победителях, призерах республиканских, всероссийских, международных олимпиад обучающихся, подготовленных соискателем гранта по предметам «физика» и (или) «химия», и (или) «биология»;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победителях, призерах конкурсов, входящих в перечень олимпиад и иных интеллектуальных конкурсов, мероприятий, направленных на развитие интеллектуальных способностей, интереса к научно-исследовательской, инженерно-технической, изобретательской деятельности, утверждаемых Министерством просвещения Российской Федерации, подготовленных соискателем гранта.</w:t>
      </w:r>
    </w:p>
    <w:p w:rsidR="00F65F74" w:rsidRPr="00BA71C5" w:rsidRDefault="00394398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Соискатель гранта может подать заявку только по одной из номинаций гранта.</w:t>
      </w:r>
    </w:p>
    <w:p w:rsidR="00F65F74" w:rsidRPr="00BA71C5" w:rsidRDefault="00394398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Соискатель гранта формирует и подает заявку на бумажном носителе в сроки, указанные в объявлении о проведении отбора, по адресу места нахождения оператора либо почтовым отправлением оператору. </w:t>
      </w:r>
    </w:p>
    <w:p w:rsidR="00F65F74" w:rsidRPr="00BA71C5" w:rsidRDefault="00394398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Документы, представленные в составе заявки на бумажном носителе, должны быть внесены в содержащуюся в ней опись, прошиты, пронумерованы и заверены соискателем гранта.</w:t>
      </w:r>
    </w:p>
    <w:p w:rsidR="00F65F74" w:rsidRPr="00BA71C5" w:rsidRDefault="00394398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По решению Министерства при наличии соответствующих технических возможностей подача заявок может быть организована в электронной форме с использованием информационно-коммуникационных технологий при условии соблюдения требований законодательства Российской Федерации, в том числе в области защиты персональных данных. В случае подачи заявки в электронной форме документы, представленные в составе заявки, прилагаются к заявке в форме сканированных копий документов.</w:t>
      </w:r>
    </w:p>
    <w:p w:rsidR="00F65F74" w:rsidRPr="00BA71C5" w:rsidRDefault="00394398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Представленные на отбор заявки и документы в составе заявки по окончании отбора соискателям гранта не возвращаются.</w:t>
      </w:r>
    </w:p>
    <w:p w:rsidR="00F65F74" w:rsidRPr="00BA71C5" w:rsidRDefault="00394398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Соискатель гранта несет ответственность за достоверность предоставляемых документов в составе заявки.</w:t>
      </w:r>
    </w:p>
    <w:p w:rsidR="00F65F74" w:rsidRPr="00BA71C5" w:rsidRDefault="00394398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sz w:val="28"/>
          <w:szCs w:val="28"/>
        </w:rPr>
        <w:t>12. Поступившая оператору заявка с документами, представленными в ее составе, регистрируется в течение одного рабочего дня с даты ее поступления оператору по адресу его места нахождения. В случае подачи заявки почтовым отправлением заявка регистрируется оператором в течение одного рабочего дня с даты ее получения в почтовом отделении оператором. В случае подачи заявки в электронной форме оператор регистрирует заявку в течение одного рабочего дня с даты ее поступления на электронный адрес оператора.</w:t>
      </w:r>
    </w:p>
    <w:p w:rsidR="00F65F74" w:rsidRPr="00BA71C5" w:rsidRDefault="00394398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sz w:val="28"/>
          <w:szCs w:val="28"/>
        </w:rPr>
        <w:t>Зарегистрированные заявки передаются оператором в конкурсную комиссию в срок не позднее дня, следующего за днем окончания приема заявок, утвержденного приказом Министерства.</w:t>
      </w:r>
    </w:p>
    <w:p w:rsidR="00F65F74" w:rsidRPr="00BA71C5" w:rsidRDefault="00394398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sz w:val="28"/>
          <w:szCs w:val="28"/>
        </w:rPr>
        <w:t>13. Рассмотрение заявки и документов, представленных в ее составе, отбор осуществляются конкурсной комиссией</w:t>
      </w: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, состав которой утверждается приказом Министерства,</w:t>
      </w:r>
      <w:r w:rsidRPr="00BA71C5">
        <w:rPr>
          <w:rFonts w:ascii="Times New Roman" w:eastAsia="Times New Roman" w:hAnsi="Times New Roman" w:cs="Times New Roman"/>
          <w:sz w:val="28"/>
          <w:szCs w:val="28"/>
        </w:rPr>
        <w:t xml:space="preserve"> в течение 10 рабочих дней со дня окончания срока приема заявок.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sz w:val="28"/>
          <w:szCs w:val="28"/>
        </w:rPr>
        <w:t>Конкурсная комиссия формируется в составе не менее пяти членов из числа представителей органов государственной власти Республики Татарстан, специалистов в сфере общего образования, ученых в сфере педагогики, физики, химии, представителей общественности. Количество представителей органов государственной власти Республики Татарстан не должно превышать половины общего состава членов конкурсной комиссии. При формировании конкурсной комиссии определяются председатель, заместитель председателя и секретарь конкурсной комиссии. При отсутствии председателя конкурсной комиссии его функции исполняет заместитель председателя конкурсной комиссии.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14. Отбор включает в себя оценку конкурсной комиссией заявок, портфолио, мотивационного письма и индивидуального образовательного проекта в соответствии с критериями оценки, утвержденными приказом Министерства.</w:t>
      </w:r>
    </w:p>
    <w:p w:rsidR="00F65F74" w:rsidRPr="00BA71C5" w:rsidRDefault="00394398">
      <w:pPr>
        <w:shd w:val="clear" w:color="auto" w:fill="FFFFFF"/>
        <w:suppressAutoHyphens w:val="0"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Решение конкурсной комиссии оформляется протоколом конкурсной комиссии, который подписывается председателем, заместителем председателя и секретарем конкурсной комиссии.</w:t>
      </w:r>
    </w:p>
    <w:p w:rsidR="00F65F74" w:rsidRPr="00BA71C5" w:rsidRDefault="00394398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15. Основаниями для отказа соискателю гранта в участии</w:t>
      </w:r>
      <w:r w:rsidRPr="00BA71C5">
        <w:rPr>
          <w:rFonts w:ascii="Times New Roman" w:hAnsi="Times New Roman" w:cs="Times New Roman"/>
          <w:sz w:val="28"/>
          <w:szCs w:val="28"/>
        </w:rPr>
        <w:t xml:space="preserve"> в отборе являются: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непредставление (представление неполного комплекта) документов, указанных в пункте 11 настоящего Положения, и (или) недостоверность представленной в документах информации;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несоответствие соискателя гранта требованиям, установленным пунктом 8 настоящего Положения.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подача заявки и (или) документов после даты окончания срока приема заявок.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hd w:val="clear" w:color="auto" w:fill="FFFF00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 случае отказа соискателю гранта в участии в отборе конкурсная комиссия </w:t>
      </w:r>
      <w:r w:rsidRPr="00BA71C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  <w:t>в течение одного рабочего дня со дня принятия указанного решения направляет оператору уведомление об этом с указанием причин отклонения заявки. Оператор в пятидневный срок, исчисляемый в рабочих днях, следующих за днем окончания срока подачи заявок, направляет соискателю гранта на адрес электронной почты, указанный в заявке, уведомление об этом с указанием причин отказа в участии в отборе.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16. По итогам отбора в соответствии с пунктом 14 настоящего Положения конкурсной комиссией формируется ранжированный перечень соискателей гранта в порядке убывания набранных баллов. Победителями отбора признаются соискатели гранта, набравшие наибольшее количество баллов по итогам отбора, занявшие в ранжированном перечне соискателей гранта по каждой номинации: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«Учитель физико-химического профиля» – с 1-го по 100-е место; 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«Молодой учитель физико-химического профиля» – с 1-го по 100-е место;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BA71C5">
        <w:rPr>
          <w:rFonts w:ascii="Times New Roman" w:hAnsi="Times New Roman" w:cs="Times New Roman"/>
          <w:sz w:val="28"/>
          <w:szCs w:val="28"/>
        </w:rPr>
        <w:t>Преподаватель вуза физико-химического профиля, работающий в школе</w:t>
      </w: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» – с 1-го по 20-е место.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Ранжированный перечень соискателей гранта является неотъемлемой частью протокола конкурсной комиссии.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Протокол конкурсной комиссии направляется в Министерство в течение пяти рабочих дней с даты его подписания.</w:t>
      </w:r>
    </w:p>
    <w:p w:rsidR="00F65F74" w:rsidRPr="00BA71C5" w:rsidRDefault="00394398">
      <w:pPr>
        <w:tabs>
          <w:tab w:val="left" w:pos="1134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1C5">
        <w:rPr>
          <w:rFonts w:ascii="Times New Roman" w:hAnsi="Times New Roman" w:cs="Times New Roman"/>
          <w:sz w:val="28"/>
          <w:szCs w:val="28"/>
        </w:rPr>
        <w:t>Министерство на основании протокола конкурсной комиссии принимает решение о предоставлении гранта либо об отказе в предоставлении гранта, утверждаемое приказом Министерства в течение пяти рабочих дней с даты поступления протокола конкурсной комиссии.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17. Грант предоставляется на основании соглашения, заключаемого Министерством с грантополучателем по форме, утвержденной приказом Министерства, в срок не позднее 30-го календарного дня, следующего за днем принятия Министерством решения о предоставлении гранта.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18. В соглашении предусматриваются: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цели предоставления гранта;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размер гранта;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сроки и порядок перечисления гранта;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сроки и порядок представления отчета о достижении результатов предоставления гранта;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значения результатов предоставления гранта и сроки их достижения;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срок реализации индивидуального образовательного проекта, но не более одного учебного года;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сроки и порядок предоставления отчета о реализации индивидуального обра</w:t>
      </w: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зовательного проекта;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согласие на осуществление Министерством и органами государственного финансового контроля проверок соблюдения грантополучателем условий и порядка предоставления гранта;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случаи и порядок приостановления, прекращения выплаты гранта;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случаи и порядок возврата гранта;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сроки принятия мер по принудительному взысканию гранта;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обязательство грантополучателем по соблюдению условий предоставления гранта, установленных пунктом 6 настоящего Положения;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ответственность за нарушение условий и порядка предоставления гранта;</w:t>
      </w:r>
    </w:p>
    <w:p w:rsidR="00F65F74" w:rsidRPr="00BA71C5" w:rsidRDefault="00394398">
      <w:pPr>
        <w:pStyle w:val="ConsPlusNormal"/>
        <w:suppressAutoHyphens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1C5">
        <w:rPr>
          <w:rFonts w:ascii="Times New Roman" w:eastAsia="Calibri" w:hAnsi="Times New Roman" w:cs="Times New Roman"/>
          <w:color w:val="000000"/>
          <w:sz w:val="28"/>
          <w:szCs w:val="28"/>
        </w:rPr>
        <w:t>обязательство грантополучателя в случае расторжения трудового договора с работодателем до окончания реализация индивидуального образовательного проекта уведомить Министерство об этом в срок не позднее трех рабочих дней с даты прекращения трудовых отношений.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19. При расторжении грантополучателем трудового договора с работодателем до окончания срока реализации индивидуального образовательного проекта</w:t>
      </w:r>
      <w:r w:rsidRPr="00BA71C5">
        <w:rPr>
          <w:rFonts w:ascii="Times New Roman" w:hAnsi="Times New Roman" w:cs="Times New Roman"/>
          <w:sz w:val="28"/>
          <w:szCs w:val="28"/>
        </w:rPr>
        <w:t xml:space="preserve"> р</w:t>
      </w: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анее выплаченная сумма гранта подлежит возврату в бюджет Республики Татарстан в полном объеме в срок не позднее трех месяцев с даты расторжения трудового договора с работодателем.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В случае расторжения грантополучателем трудового договора с работодателем до окончания срока реализации индивидуального образовательного проекта в связи со сменой места жительства супруга (супруги) грантополучателя, являющегося (являющейся) военнослужащим, участником специальной военной операции, а также в случае ликвидации работодателя, ранее выплаченная сумма гранта возврату не подлежит.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20. Предоставление гранта грантополучателям осуществляется Министерством путем перечисления на лицевые счета грантополучателей, открытые в российских кредитных организациях.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21. Грантополучатели представляют оператору согласованный с работодателем отчет о реализации индивидуального образовательного проекта, являющегося отчетом о достижении результатов предоставления гранта, по форме и в срок, установленные соглашением. 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В отчете о реализации индивидуального образовательного проекта указываются: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педагогическая значимость мероприятий, проведенных в рамках реализации индивидуального образовательного проекта;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эффективность педагогической деятельности грантополучателя, выраженная </w:t>
      </w: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в достижении целевых показателей, предусмотренных индивидуальным образовательным проектом, результаты достижения которых подтверждены работодателем.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Подтверждение работодателем факта достижения грантополучателем целевых показателей, предусмотренных индивидуальным образовательным проектом, осуществляется путем проставления в правом верхнем углу первой страницы отчета о реализации индивидуального образовательного проекта грифа «Подтверждено» и подписи руководителя работодателя или уполномоченного им лица.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22. Министерство и органы государственного финансового контроля осу</w:t>
      </w: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ществляют проверку соблюдения грантополучателями условий и порядка предоставления грантов.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23. В случае установления по итогам проверок, проведенных Министерством и органами государственного финансового контроля, факта нарушения условий и порядка предоставления грантов, определенных настоящим Положением и заключенным соглашением, грантополучатель осуществляет возврат полученных средств </w:t>
      </w: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в бюджет Республики Татарстан в течение 30 календарных дней с даты получения письменного требования Министерства.</w:t>
      </w:r>
    </w:p>
    <w:p w:rsidR="00F65F74" w:rsidRPr="00BA71C5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В случае отказа от добровольного возврата в доход бюджета Республики Татарстан указанных средств они подлежат взысканию Министерством в принудительном порядке в соответствии с законодательством Российской Федерации.</w:t>
      </w:r>
    </w:p>
    <w:p w:rsidR="00F65F74" w:rsidRDefault="00394398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1C5">
        <w:rPr>
          <w:rFonts w:ascii="Times New Roman" w:eastAsia="Times New Roman" w:hAnsi="Times New Roman" w:cs="Times New Roman"/>
          <w:color w:val="auto"/>
          <w:sz w:val="28"/>
          <w:szCs w:val="28"/>
        </w:rPr>
        <w:t>24. Контроль за эффективным использованием гранта, соблюдением условий и порядка его предоставления осуществляется Министерством.</w:t>
      </w:r>
    </w:p>
    <w:p w:rsidR="00F65F74" w:rsidRDefault="00F65F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65F74" w:rsidRDefault="00F65F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F65F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425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921" w:rsidRDefault="00727921">
      <w:pPr>
        <w:spacing w:after="0" w:line="240" w:lineRule="auto"/>
      </w:pPr>
      <w:r>
        <w:separator/>
      </w:r>
    </w:p>
  </w:endnote>
  <w:endnote w:type="continuationSeparator" w:id="0">
    <w:p w:rsidR="00727921" w:rsidRDefault="00727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1" w:usb1="00000000" w:usb2="00000000" w:usb3="00000000" w:csb0="00000004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0">
    <w:charset w:val="01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F74" w:rsidRDefault="00F65F74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F74" w:rsidRDefault="00F65F74">
    <w:pPr>
      <w:pStyle w:val="ae"/>
      <w:jc w:val="center"/>
    </w:pPr>
  </w:p>
  <w:p w:rsidR="00F65F74" w:rsidRDefault="00F65F74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F74" w:rsidRDefault="00F65F7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921" w:rsidRDefault="00727921">
      <w:pPr>
        <w:spacing w:after="0" w:line="240" w:lineRule="auto"/>
      </w:pPr>
      <w:r>
        <w:separator/>
      </w:r>
    </w:p>
  </w:footnote>
  <w:footnote w:type="continuationSeparator" w:id="0">
    <w:p w:rsidR="00727921" w:rsidRDefault="007279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F74" w:rsidRDefault="00F65F7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361217"/>
      <w:docPartObj>
        <w:docPartGallery w:val="Page Numbers (Top of Page)"/>
        <w:docPartUnique/>
      </w:docPartObj>
    </w:sdtPr>
    <w:sdtEndPr/>
    <w:sdtContent>
      <w:p w:rsidR="00F65F74" w:rsidRDefault="00394398">
        <w:pPr>
          <w:pStyle w:val="ac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PAGE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95AD3">
          <w:rPr>
            <w:rFonts w:ascii="Times New Roman" w:hAnsi="Times New Roman" w:cs="Times New Roman"/>
            <w:noProof/>
            <w:sz w:val="28"/>
            <w:szCs w:val="28"/>
          </w:rPr>
          <w:t>3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65F74" w:rsidRDefault="00F65F7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F74" w:rsidRDefault="00F65F7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65D8A"/>
    <w:multiLevelType w:val="multilevel"/>
    <w:tmpl w:val="A73A0EB6"/>
    <w:lvl w:ilvl="0">
      <w:start w:val="1"/>
      <w:numFmt w:val="bullet"/>
      <w:pStyle w:val="a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CDA5420"/>
    <w:multiLevelType w:val="multilevel"/>
    <w:tmpl w:val="117061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F74"/>
    <w:rsid w:val="000E47EB"/>
    <w:rsid w:val="00394398"/>
    <w:rsid w:val="00727921"/>
    <w:rsid w:val="00B95AD3"/>
    <w:rsid w:val="00BA71C5"/>
    <w:rsid w:val="00F65F74"/>
    <w:rsid w:val="00FC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DB78D"/>
  <w15:docId w15:val="{7E18B806-B188-4D15-849A-73D2ECD38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03067"/>
    <w:pPr>
      <w:widowControl w:val="0"/>
      <w:spacing w:after="160" w:line="259" w:lineRule="auto"/>
    </w:pPr>
    <w:rPr>
      <w:rFonts w:ascii="Calibri" w:eastAsia="Calibri" w:hAnsi="Calibri" w:cs="Calibri"/>
      <w:color w:val="000000"/>
      <w:sz w:val="22"/>
      <w:szCs w:val="22"/>
    </w:rPr>
  </w:style>
  <w:style w:type="paragraph" w:styleId="1">
    <w:name w:val="heading 1"/>
    <w:basedOn w:val="a0"/>
    <w:next w:val="a0"/>
    <w:link w:val="10"/>
    <w:qFormat/>
    <w:pPr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qFormat/>
    <w:pPr>
      <w:keepNext/>
      <w:keepLines/>
      <w:spacing w:before="360" w:after="80"/>
      <w:contextualSpacing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qFormat/>
    <w:pPr>
      <w:keepNext/>
      <w:keepLines/>
      <w:spacing w:before="280" w:after="80"/>
      <w:contextualSpacing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qFormat/>
    <w:pPr>
      <w:keepNext/>
      <w:keepLines/>
      <w:spacing w:before="240" w:after="40"/>
      <w:contextualSpacing/>
      <w:outlineLvl w:val="3"/>
    </w:pPr>
    <w:rPr>
      <w:rFonts w:ascii="Calibri" w:eastAsia="Calibri" w:hAnsi="Calibri" w:cs="Calibri"/>
      <w:b/>
      <w:sz w:val="24"/>
      <w:szCs w:val="24"/>
    </w:rPr>
  </w:style>
  <w:style w:type="paragraph" w:styleId="5">
    <w:name w:val="heading 5"/>
    <w:qFormat/>
    <w:pPr>
      <w:keepNext/>
      <w:keepLines/>
      <w:spacing w:before="220" w:after="40"/>
      <w:contextualSpacing/>
      <w:outlineLvl w:val="4"/>
    </w:pPr>
    <w:rPr>
      <w:rFonts w:ascii="Calibri" w:eastAsia="Calibri" w:hAnsi="Calibri" w:cs="Calibri"/>
      <w:b/>
    </w:rPr>
  </w:style>
  <w:style w:type="paragraph" w:styleId="6">
    <w:name w:val="heading 6"/>
    <w:link w:val="60"/>
    <w:qFormat/>
    <w:pPr>
      <w:keepNext/>
      <w:keepLines/>
      <w:spacing w:before="200" w:after="40"/>
      <w:contextualSpacing/>
      <w:outlineLvl w:val="5"/>
    </w:pPr>
    <w:rPr>
      <w:rFonts w:ascii="Calibri" w:eastAsia="Calibri" w:hAnsi="Calibri" w:cs="Calibri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semiHidden/>
    <w:unhideWhenUsed/>
    <w:qFormat/>
    <w:rPr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Hyperlink"/>
    <w:uiPriority w:val="99"/>
    <w:unhideWhenUsed/>
    <w:qFormat/>
    <w:rPr>
      <w:color w:val="0000FF"/>
      <w:u w:val="single"/>
    </w:rPr>
  </w:style>
  <w:style w:type="character" w:styleId="a7">
    <w:name w:val="Strong"/>
    <w:uiPriority w:val="22"/>
    <w:qFormat/>
    <w:rPr>
      <w:b/>
      <w:bCs/>
    </w:rPr>
  </w:style>
  <w:style w:type="character" w:customStyle="1" w:styleId="10">
    <w:name w:val="Заголовок 1 Знак"/>
    <w:link w:val="1"/>
    <w:qFormat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8">
    <w:name w:val="Гипертекстовая ссылка"/>
    <w:uiPriority w:val="99"/>
    <w:qFormat/>
    <w:rPr>
      <w:rFonts w:ascii="Times New Roman" w:hAnsi="Times New Roman" w:cs="Times New Roman"/>
      <w:color w:val="000000"/>
    </w:rPr>
  </w:style>
  <w:style w:type="character" w:customStyle="1" w:styleId="FontStyle29">
    <w:name w:val="Font Style29"/>
    <w:uiPriority w:val="99"/>
    <w:qFormat/>
    <w:rPr>
      <w:rFonts w:ascii="Times New Roman" w:hAnsi="Times New Roman" w:cs="Times New Roman"/>
      <w:sz w:val="26"/>
    </w:rPr>
  </w:style>
  <w:style w:type="character" w:customStyle="1" w:styleId="a9">
    <w:name w:val="Текст выноски Знак"/>
    <w:link w:val="aa"/>
    <w:qFormat/>
    <w:rPr>
      <w:rFonts w:ascii="Segoe UI" w:hAnsi="Segoe UI" w:cs="Segoe UI"/>
      <w:sz w:val="18"/>
      <w:szCs w:val="18"/>
    </w:rPr>
  </w:style>
  <w:style w:type="character" w:customStyle="1" w:styleId="ab">
    <w:name w:val="Верхний колонтитул Знак"/>
    <w:basedOn w:val="a1"/>
    <w:link w:val="ac"/>
    <w:uiPriority w:val="99"/>
    <w:qFormat/>
  </w:style>
  <w:style w:type="character" w:customStyle="1" w:styleId="ad">
    <w:name w:val="Нижний колонтитул Знак"/>
    <w:basedOn w:val="a1"/>
    <w:link w:val="ae"/>
    <w:uiPriority w:val="99"/>
    <w:qFormat/>
  </w:style>
  <w:style w:type="character" w:customStyle="1" w:styleId="af">
    <w:name w:val="Схема документа Знак"/>
    <w:link w:val="af0"/>
    <w:semiHidden/>
    <w:qFormat/>
    <w:rPr>
      <w:rFonts w:ascii="Tahoma" w:eastAsia="Times New Roman" w:hAnsi="Tahoma" w:cs="Tahoma"/>
      <w:shd w:val="clear" w:color="auto" w:fill="000080"/>
    </w:rPr>
  </w:style>
  <w:style w:type="character" w:customStyle="1" w:styleId="60">
    <w:name w:val="Заголовок 6 Знак"/>
    <w:link w:val="6"/>
    <w:qFormat/>
    <w:rPr>
      <w:b/>
      <w:color w:val="000000"/>
    </w:rPr>
  </w:style>
  <w:style w:type="character" w:customStyle="1" w:styleId="af1">
    <w:name w:val="Основной текст Знак"/>
    <w:link w:val="af2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pple-converted-space">
    <w:name w:val="apple-converted-space"/>
    <w:qFormat/>
  </w:style>
  <w:style w:type="character" w:customStyle="1" w:styleId="c0">
    <w:name w:val="c0"/>
    <w:qFormat/>
    <w:rPr>
      <w:rFonts w:cs="Times New Roman"/>
    </w:rPr>
  </w:style>
  <w:style w:type="character" w:customStyle="1" w:styleId="20">
    <w:name w:val="Заголовок 2 Знак"/>
    <w:qFormat/>
    <w:rPr>
      <w:b/>
      <w:color w:val="000000"/>
      <w:sz w:val="36"/>
      <w:szCs w:val="36"/>
    </w:rPr>
  </w:style>
  <w:style w:type="character" w:customStyle="1" w:styleId="af3">
    <w:name w:val="Основной текст с отступом Знак"/>
    <w:link w:val="af4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af5">
    <w:name w:val="Текст Знак"/>
    <w:link w:val="af6"/>
    <w:uiPriority w:val="99"/>
    <w:qFormat/>
    <w:rPr>
      <w:rFonts w:ascii="Courier New" w:eastAsia="Times New Roman" w:hAnsi="Courier New" w:cs="Times New Roman"/>
      <w:lang w:val="en-US" w:eastAsia="zh-CN"/>
    </w:rPr>
  </w:style>
  <w:style w:type="character" w:customStyle="1" w:styleId="af7">
    <w:name w:val="Текст примечания Знак"/>
    <w:basedOn w:val="a1"/>
    <w:link w:val="af8"/>
    <w:uiPriority w:val="99"/>
    <w:semiHidden/>
    <w:qFormat/>
    <w:rPr>
      <w:color w:val="000000"/>
    </w:rPr>
  </w:style>
  <w:style w:type="character" w:customStyle="1" w:styleId="af9">
    <w:name w:val="Тема примечания Знак"/>
    <w:basedOn w:val="af7"/>
    <w:link w:val="afa"/>
    <w:uiPriority w:val="99"/>
    <w:semiHidden/>
    <w:qFormat/>
    <w:rPr>
      <w:b/>
      <w:bCs/>
      <w:color w:val="000000"/>
    </w:rPr>
  </w:style>
  <w:style w:type="character" w:customStyle="1" w:styleId="4W4W4r4r4u4u4Efrrfuurr1444444444444444444444S4Su4u41E4E">
    <w:name w:val="Ц4W4Wв4r4rе4u4uт4・?・E?о ?f? ?вrr??о ?f? ?еuu ??вrr??ы・1・4?4д?4?4е?4?4л?4?4е?4?4н?4?4и?4?4е ?4?4д?4?4л?4?4я4S?4SТu?4uе[?4[к?1E・4・сE"/>
    <w:qFormat/>
    <w:rPr>
      <w:rFonts w:ascii="PT Astra Serif" w:eastAsia="PT Astra Serif" w:hAnsi="PT Astra Serif" w:cs="PT Astra Serif"/>
      <w:sz w:val="24"/>
    </w:rPr>
  </w:style>
  <w:style w:type="character" w:customStyle="1" w:styleId="afb">
    <w:name w:val="Другое_"/>
    <w:basedOn w:val="a1"/>
    <w:link w:val="afc"/>
    <w:qFormat/>
    <w:rsid w:val="00084050"/>
    <w:rPr>
      <w:rFonts w:eastAsia="Times New Roman"/>
      <w:sz w:val="26"/>
      <w:szCs w:val="26"/>
    </w:rPr>
  </w:style>
  <w:style w:type="character" w:customStyle="1" w:styleId="afd">
    <w:name w:val="Основной текст_"/>
    <w:basedOn w:val="a1"/>
    <w:qFormat/>
    <w:rsid w:val="00084050"/>
    <w:rPr>
      <w:rFonts w:eastAsia="Times New Roman"/>
      <w:sz w:val="26"/>
      <w:szCs w:val="26"/>
    </w:rPr>
  </w:style>
  <w:style w:type="character" w:customStyle="1" w:styleId="21">
    <w:name w:val="Основной текст (2)_"/>
    <w:basedOn w:val="a1"/>
    <w:link w:val="22"/>
    <w:qFormat/>
    <w:rsid w:val="00084050"/>
    <w:rPr>
      <w:rFonts w:eastAsia="Times New Roman"/>
      <w:sz w:val="19"/>
      <w:szCs w:val="19"/>
      <w:u w:val="single"/>
    </w:rPr>
  </w:style>
  <w:style w:type="character" w:customStyle="1" w:styleId="afe">
    <w:name w:val="Цветовое выделение для Текст"/>
    <w:qFormat/>
    <w:rPr>
      <w:rFonts w:ascii="Arial" w:eastAsia="Arial" w:hAnsi="Arial" w:cs="Arial"/>
      <w:sz w:val="26"/>
      <w:szCs w:val="26"/>
      <w:lang w:val="ru-RU" w:bidi="ru-RU"/>
    </w:rPr>
  </w:style>
  <w:style w:type="character" w:customStyle="1" w:styleId="aff">
    <w:name w:val="Цветовое выделение"/>
    <w:qFormat/>
    <w:rPr>
      <w:rFonts w:ascii="Arial" w:eastAsia="Arial" w:hAnsi="Arial" w:cs="Arial"/>
      <w:b/>
      <w:bCs/>
      <w:color w:val="26282F"/>
      <w:sz w:val="24"/>
      <w:szCs w:val="24"/>
      <w:lang w:val="ru-RU" w:bidi="ru-RU"/>
    </w:rPr>
  </w:style>
  <w:style w:type="character" w:customStyle="1" w:styleId="sc-jtycat">
    <w:name w:val="sc-jtycat"/>
    <w:basedOn w:val="a1"/>
    <w:qFormat/>
    <w:rsid w:val="00917B58"/>
  </w:style>
  <w:style w:type="paragraph" w:styleId="aff0">
    <w:name w:val="Title"/>
    <w:next w:val="af2"/>
    <w:qFormat/>
    <w:pPr>
      <w:keepNext/>
      <w:keepLines/>
      <w:spacing w:before="480" w:after="120"/>
      <w:contextualSpacing/>
    </w:pPr>
    <w:rPr>
      <w:rFonts w:ascii="Calibri" w:eastAsia="Calibri" w:hAnsi="Calibri" w:cs="Calibri"/>
      <w:b/>
      <w:sz w:val="72"/>
      <w:szCs w:val="72"/>
    </w:rPr>
  </w:style>
  <w:style w:type="paragraph" w:styleId="af2">
    <w:name w:val="Body Text"/>
    <w:basedOn w:val="a0"/>
    <w:link w:val="af1"/>
    <w:qFormat/>
    <w:pPr>
      <w:widowControl/>
      <w:spacing w:after="12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zh-CN" w:eastAsia="zh-CN"/>
    </w:rPr>
  </w:style>
  <w:style w:type="paragraph" w:styleId="aff1">
    <w:name w:val="List"/>
    <w:basedOn w:val="af2"/>
    <w:rPr>
      <w:rFonts w:ascii="PT Astra Serif" w:hAnsi="PT Astra Serif" w:cs="Noto Sans Devanagari"/>
    </w:rPr>
  </w:style>
  <w:style w:type="paragraph" w:styleId="aff2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3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styleId="aa">
    <w:name w:val="Balloon Text"/>
    <w:basedOn w:val="a0"/>
    <w:link w:val="a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6">
    <w:name w:val="Plain Text"/>
    <w:basedOn w:val="a0"/>
    <w:link w:val="af5"/>
    <w:uiPriority w:val="99"/>
    <w:unhideWhenUsed/>
    <w:qFormat/>
    <w:pPr>
      <w:widowControl/>
      <w:spacing w:after="0" w:line="240" w:lineRule="auto"/>
    </w:pPr>
    <w:rPr>
      <w:rFonts w:ascii="Courier New" w:eastAsia="Times New Roman" w:hAnsi="Courier New" w:cs="Times New Roman"/>
      <w:color w:val="auto"/>
      <w:sz w:val="20"/>
      <w:szCs w:val="20"/>
      <w:lang w:val="en-US" w:eastAsia="zh-CN"/>
    </w:rPr>
  </w:style>
  <w:style w:type="paragraph" w:styleId="af8">
    <w:name w:val="annotation text"/>
    <w:basedOn w:val="a0"/>
    <w:link w:val="af7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qFormat/>
    <w:rPr>
      <w:b/>
      <w:bCs/>
    </w:rPr>
  </w:style>
  <w:style w:type="paragraph" w:styleId="af0">
    <w:name w:val="Document Map"/>
    <w:basedOn w:val="a0"/>
    <w:link w:val="af"/>
    <w:semiHidden/>
    <w:qFormat/>
    <w:pPr>
      <w:widowControl/>
      <w:shd w:val="clear" w:color="auto" w:fill="000080"/>
      <w:spacing w:after="0" w:line="240" w:lineRule="auto"/>
    </w:pPr>
    <w:rPr>
      <w:rFonts w:ascii="Tahoma" w:eastAsia="Times New Roman" w:hAnsi="Tahoma" w:cs="Tahoma"/>
      <w:color w:val="auto"/>
      <w:sz w:val="20"/>
      <w:szCs w:val="20"/>
    </w:rPr>
  </w:style>
  <w:style w:type="paragraph" w:customStyle="1" w:styleId="aff4">
    <w:name w:val="Колонтитул"/>
    <w:basedOn w:val="a0"/>
    <w:qFormat/>
  </w:style>
  <w:style w:type="paragraph" w:customStyle="1" w:styleId="HeaderandFooter">
    <w:name w:val="Header and Footer"/>
    <w:basedOn w:val="a0"/>
    <w:qFormat/>
  </w:style>
  <w:style w:type="paragraph" w:styleId="ac">
    <w:name w:val="header"/>
    <w:basedOn w:val="a0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Body Text Indent"/>
    <w:basedOn w:val="a0"/>
    <w:link w:val="af3"/>
    <w:pPr>
      <w:widowControl/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e">
    <w:name w:val="footer"/>
    <w:basedOn w:val="a0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f5">
    <w:name w:val="Normal (Web)"/>
    <w:basedOn w:val="a0"/>
    <w:uiPriority w:val="99"/>
    <w:qFormat/>
    <w:pPr>
      <w:widowControl/>
      <w:spacing w:beforeAutospacing="1" w:afterAutospacing="1" w:line="240" w:lineRule="auto"/>
    </w:pPr>
    <w:rPr>
      <w:rFonts w:ascii="Tahoma" w:eastAsia="Times New Roman" w:hAnsi="Tahoma" w:cs="Tahoma"/>
      <w:color w:val="6A696A"/>
      <w:sz w:val="17"/>
      <w:szCs w:val="17"/>
    </w:rPr>
  </w:style>
  <w:style w:type="paragraph" w:styleId="aff6">
    <w:name w:val="Subtitle"/>
    <w:basedOn w:val="a0"/>
    <w:next w:val="a0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2">
    <w:name w:val="Обычный1"/>
    <w:qFormat/>
    <w:pPr>
      <w:widowControl w:val="0"/>
      <w:spacing w:after="160" w:line="259" w:lineRule="auto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Style6">
    <w:name w:val="Style6"/>
    <w:basedOn w:val="a0"/>
    <w:uiPriority w:val="99"/>
    <w:qFormat/>
    <w:pPr>
      <w:spacing w:after="0" w:line="31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0"/>
    <w:uiPriority w:val="99"/>
    <w:qFormat/>
    <w:pPr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f7">
    <w:name w:val="List Paragraph"/>
    <w:basedOn w:val="a0"/>
    <w:uiPriority w:val="34"/>
    <w:qFormat/>
    <w:pPr>
      <w:ind w:left="720"/>
      <w:contextualSpacing/>
    </w:pPr>
  </w:style>
  <w:style w:type="paragraph" w:customStyle="1" w:styleId="Default">
    <w:name w:val="Default"/>
    <w:qFormat/>
    <w:rPr>
      <w:rFonts w:eastAsia="Calibri"/>
      <w:color w:val="000000"/>
      <w:sz w:val="24"/>
      <w:szCs w:val="24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</w:rPr>
  </w:style>
  <w:style w:type="paragraph" w:customStyle="1" w:styleId="s1">
    <w:name w:val="s_1"/>
    <w:basedOn w:val="a0"/>
    <w:qFormat/>
    <w:pPr>
      <w:widowControl/>
      <w:spacing w:beforeAutospacing="1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3">
    <w:name w:val="Знак1 Знак Знак Знак Знак Знак Знак"/>
    <w:basedOn w:val="a0"/>
    <w:qFormat/>
    <w:pPr>
      <w:widowControl/>
      <w:spacing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/>
    </w:rPr>
  </w:style>
  <w:style w:type="paragraph" w:customStyle="1" w:styleId="CharChar">
    <w:name w:val="Char Char Знак Знак Знак Знак Знак Знак Знак Знак Знак Знак"/>
    <w:basedOn w:val="a0"/>
    <w:qFormat/>
    <w:pPr>
      <w:widowControl/>
      <w:spacing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customStyle="1" w:styleId="text3cl">
    <w:name w:val="text3cl"/>
    <w:basedOn w:val="a0"/>
    <w:qFormat/>
    <w:pPr>
      <w:widowControl/>
      <w:spacing w:before="144" w:after="288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4">
    <w:name w:val="заголовок 1"/>
    <w:basedOn w:val="a0"/>
    <w:next w:val="a0"/>
    <w:qFormat/>
    <w:pPr>
      <w:keepNext/>
      <w:widowControl/>
      <w:spacing w:after="0" w:line="240" w:lineRule="auto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a">
    <w:name w:val="перечисление"/>
    <w:basedOn w:val="a0"/>
    <w:next w:val="a0"/>
    <w:qFormat/>
    <w:pPr>
      <w:widowControl/>
      <w:numPr>
        <w:numId w:val="1"/>
      </w:numPr>
      <w:tabs>
        <w:tab w:val="left" w:pos="360"/>
      </w:tabs>
      <w:spacing w:after="0" w:line="218" w:lineRule="auto"/>
      <w:ind w:left="0" w:firstLine="0"/>
      <w:jc w:val="both"/>
    </w:pPr>
    <w:rPr>
      <w:rFonts w:ascii="Times New Roman" w:eastAsia="Times New Roman" w:hAnsi="Times New Roman" w:cs="Times New Roman"/>
      <w:color w:val="auto"/>
      <w:sz w:val="24"/>
      <w:szCs w:val="28"/>
    </w:rPr>
  </w:style>
  <w:style w:type="paragraph" w:styleId="aff8">
    <w:name w:val="No Spacing"/>
    <w:uiPriority w:val="1"/>
    <w:qFormat/>
    <w:rPr>
      <w:rFonts w:ascii="Calibri" w:eastAsia="Times New Roman" w:hAnsi="Calibri"/>
      <w:sz w:val="22"/>
      <w:szCs w:val="22"/>
      <w:lang w:eastAsia="en-US"/>
    </w:rPr>
  </w:style>
  <w:style w:type="paragraph" w:customStyle="1" w:styleId="article">
    <w:name w:val="article"/>
    <w:basedOn w:val="a0"/>
    <w:qFormat/>
    <w:pPr>
      <w:widowControl/>
      <w:spacing w:beforeAutospacing="1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paragraph" w:customStyle="1" w:styleId="4H4H4p4p4s4s443f44443f4r4r443f441">
    <w:name w:val="З4H4Hа4p4pг4s4sо44 3f л4|4|о44 3f в4r4rо44 3f к4[4[ 1"/>
    <w:basedOn w:val="a0"/>
    <w:qFormat/>
    <w:pPr>
      <w:widowControl/>
      <w:spacing w:before="108" w:after="108" w:line="240" w:lineRule="auto"/>
      <w:jc w:val="center"/>
    </w:pPr>
    <w:rPr>
      <w:rFonts w:ascii="Arial" w:eastAsia="Arial" w:hAnsi="Arial" w:cs="Arial"/>
      <w:b/>
      <w:bCs/>
      <w:color w:val="26282F"/>
      <w:sz w:val="26"/>
      <w:szCs w:val="26"/>
      <w:lang w:eastAsia="zh-CN" w:bidi="zh-CN"/>
    </w:rPr>
  </w:style>
  <w:style w:type="paragraph" w:customStyle="1" w:styleId="ce4O3f1Eaffr339314343431">
    <w:name w:val="ﾎce4O�3f ・1E﨏a・ ?�f?f? ?穩r??﨏・ ?3�?3? ?9騷 ? ?3� ?1・4 ?3�4?3�4?3� ?1・"/>
    <w:basedOn w:val="a0"/>
    <w:qFormat/>
    <w:pPr>
      <w:spacing w:after="140" w:line="276" w:lineRule="exact"/>
      <w:ind w:firstLine="720"/>
      <w:jc w:val="both"/>
    </w:pPr>
    <w:rPr>
      <w:rFonts w:ascii="0" w:eastAsia="0" w:hAnsi="0" w:cs="0"/>
      <w:sz w:val="26"/>
      <w:szCs w:val="26"/>
      <w:lang w:bidi="zh-CN"/>
    </w:rPr>
  </w:style>
  <w:style w:type="paragraph" w:customStyle="1" w:styleId="afc">
    <w:name w:val="Другое"/>
    <w:basedOn w:val="a0"/>
    <w:link w:val="afb"/>
    <w:qFormat/>
    <w:rsid w:val="00084050"/>
    <w:pPr>
      <w:suppressAutoHyphens w:val="0"/>
      <w:spacing w:after="0"/>
      <w:ind w:firstLine="400"/>
    </w:pPr>
    <w:rPr>
      <w:rFonts w:ascii="Times New Roman" w:eastAsia="Times New Roman" w:hAnsi="Times New Roman" w:cs="Times New Roman"/>
      <w:color w:val="auto"/>
      <w:sz w:val="26"/>
      <w:szCs w:val="26"/>
    </w:rPr>
  </w:style>
  <w:style w:type="paragraph" w:customStyle="1" w:styleId="15">
    <w:name w:val="Основной текст1"/>
    <w:basedOn w:val="a0"/>
    <w:qFormat/>
    <w:rsid w:val="00084050"/>
    <w:pPr>
      <w:suppressAutoHyphens w:val="0"/>
      <w:spacing w:after="0" w:line="252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</w:rPr>
  </w:style>
  <w:style w:type="paragraph" w:customStyle="1" w:styleId="22">
    <w:name w:val="Основной текст (2)"/>
    <w:basedOn w:val="a0"/>
    <w:link w:val="21"/>
    <w:qFormat/>
    <w:rsid w:val="00084050"/>
    <w:pPr>
      <w:suppressAutoHyphens w:val="0"/>
      <w:spacing w:after="180" w:line="276" w:lineRule="auto"/>
      <w:jc w:val="center"/>
    </w:pPr>
    <w:rPr>
      <w:rFonts w:ascii="Times New Roman" w:eastAsia="Times New Roman" w:hAnsi="Times New Roman" w:cs="Times New Roman"/>
      <w:color w:val="auto"/>
      <w:sz w:val="19"/>
      <w:szCs w:val="19"/>
      <w:u w:val="single"/>
    </w:rPr>
  </w:style>
  <w:style w:type="paragraph" w:customStyle="1" w:styleId="Standard">
    <w:name w:val="Standard"/>
    <w:qFormat/>
    <w:rsid w:val="00CE6C1A"/>
    <w:pPr>
      <w:widowControl w:val="0"/>
      <w:jc w:val="center"/>
      <w:textAlignment w:val="baseline"/>
    </w:pPr>
    <w:rPr>
      <w:rFonts w:ascii="PT Astra Serif" w:eastAsia="PT Astra Serif" w:hAnsi="PT Astra Serif" w:cs="PT Astra Serif"/>
      <w:kern w:val="2"/>
      <w:sz w:val="28"/>
      <w:szCs w:val="24"/>
      <w:lang w:eastAsia="zh-CN"/>
    </w:rPr>
  </w:style>
  <w:style w:type="paragraph" w:customStyle="1" w:styleId="formattext">
    <w:name w:val="formattext"/>
    <w:basedOn w:val="a0"/>
    <w:qFormat/>
    <w:rsid w:val="00C73CEC"/>
    <w:pPr>
      <w:widowControl/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numbering" w:customStyle="1" w:styleId="aff9">
    <w:name w:val="Без списка"/>
    <w:uiPriority w:val="99"/>
    <w:semiHidden/>
    <w:unhideWhenUsed/>
    <w:qFormat/>
  </w:style>
  <w:style w:type="table" w:styleId="affa">
    <w:name w:val="Table Grid"/>
    <w:basedOn w:val="a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Сетка таблицы11"/>
    <w:basedOn w:val="a2"/>
    <w:uiPriority w:val="5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basedOn w:val="a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Заголовок 2 Знак1"/>
    <w:basedOn w:val="a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68682-A6B5-4248-A631-E761B4149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9</Pages>
  <Words>3364</Words>
  <Characters>19181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Минфин РТ - Ибрагимова Динара Ринатовна</dc:creator>
  <dc:description/>
  <cp:lastModifiedBy>Пользователь Windows</cp:lastModifiedBy>
  <cp:revision>96</cp:revision>
  <cp:lastPrinted>2025-12-12T16:49:00Z</cp:lastPrinted>
  <dcterms:created xsi:type="dcterms:W3CDTF">2025-04-22T10:16:00Z</dcterms:created>
  <dcterms:modified xsi:type="dcterms:W3CDTF">2025-12-12T17:10:00Z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32CD5C0E088A4F7197B9BABD849A2E5E_12</vt:lpwstr>
  </property>
  <property fmtid="{D5CDD505-2E9C-101B-9397-08002B2CF9AE}" pid="3" name="KSOProductBuildVer">
    <vt:lpwstr>1049-12.2.0.18607</vt:lpwstr>
  </property>
</Properties>
</file>